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Прокопьевска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 : учитель </w:t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ИЗО </w:t>
      </w:r>
      <w:r>
        <w:rPr>
          <w:rFonts w:ascii="Times New Roman" w:hAnsi="Times New Roman"/>
          <w:sz w:val="28"/>
          <w:szCs w:val="28"/>
          <w:lang w:val="ru-RU"/>
        </w:rPr>
        <w:t>Курносова Н.В.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4" w:name="_Toc85367030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Общая характеристика учебного предмета «Изобразительное искусство»</w:t>
      </w:r>
      <w:bookmarkEnd w:id="4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учащихся с ЗПР, направлено на приобщение учащихся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способностей. В рамках курса обучающиеся с ЗПР получают представление об изобразительном искусстве как целостном явлении.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образования по предмету предусматривает два вида деятельности учащихся: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учащегося с произведениями искусства, что позволяет вывести на передний план деятельностное освоение изобразительного искусства.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Художественная деятельность учащихся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Основой реализации содержания учебного предмета «Изобразительное искусство» является реализация деятельностного подхода, что позволяет для учащихся с ЗПР: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придавать результатам образования социально и личностно значимый характер;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существенно повышать мотивацию и интерес к учению, приобретению нового опыта деятельности и поведения;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5" w:name="_Toc85367031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Цели и задачи изучения учебного предмета «Изобразительное искусство»</w:t>
      </w:r>
      <w:bookmarkEnd w:id="5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Общие цели и задачи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изучения учебного предмета «Изобразительное искусство» представлены в Примерной рабочей программе основного общего образования по предмету «Изобразительное искусство».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психического развития учащихся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Цель: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развитие визуально-пространственного мышления учащихся с ЗПР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Задачи: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формирование опыта смыслового и эмоционально ценностного восприятия визуального образа реальности и произведений искусства;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формирование понимания эмоционального и ценностного смысла визуально пространственной формы;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развитие творческого опыта как формирование способности к самостоятельным действиям в ситуации неопределённости;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развитие способности ориентироваться в мире современной художественной культуры;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6" w:name="_Toc85367032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Особенности отбора и адаптации учебного материала по изобразительному искусству</w:t>
      </w:r>
      <w:bookmarkEnd w:id="6"/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Содержание по предмету «Изобразительное искусство» рассчитано на учащихся с ЗПР 5–7-х классов и адаптировано для обучения данной категории учащихся с учетом особенностей их психофизического развития, индивидуальных возможностей и особых образовательных потребностей. В этом возрасте у учащихся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В</w:t>
      </w:r>
      <w:bookmarkStart w:id="7" w:name="_Toc85367033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«Изобразительное искусство»</w:t>
      </w:r>
      <w:bookmarkEnd w:id="7"/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При работе на уроке следует отдавать предпочтение практическим методам обучения: показу, упражнениям. Выполнение практической работы обязательно должно сопровождаться речевым отчетом ученика о выполненной работе, способствовать развитию речи, умению составлять связное речевое высказывание. Возможно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анализа предстоящей работы, составление плана ее реализации.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 целью формирования личностных компетенций у учащихся с ЗПР следует предусматривать чередование уроков индивидуального практического творчества и уроков коллективной творческой деятельности. Совместная творческая деятельность учит учащихся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bookmarkStart w:id="8" w:name="_Toc85367034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Место учебного предмета «Изобразительное искусство» в учебном плане</w:t>
      </w:r>
      <w:bookmarkEnd w:id="8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учащихся с задержкой психического развития.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105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учебных часов, не менее 1 учебного часа в неделю в качестве инвариантных.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учащихся с ЗПР.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sz w:val="28"/>
          <w:szCs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caps/>
          <w:sz w:val="28"/>
          <w:szCs w:val="28"/>
          <w:lang w:val="ru-RU"/>
        </w:rPr>
      </w:pPr>
      <w:bookmarkStart w:id="9" w:name="_Toc85367035"/>
      <w:r>
        <w:rPr>
          <w:rFonts w:eastAsia="" w:cs="Times New Roman" w:ascii="Times New Roman" w:hAnsi="Times New Roman" w:eastAsiaTheme="majorEastAsia"/>
          <w:sz w:val="28"/>
          <w:szCs w:val="28"/>
          <w:lang w:val="ru-RU"/>
        </w:rPr>
        <w:t>«ИЗОБРАЗИТЕЛЬНОЕ ИСКУССТВО»</w:t>
      </w:r>
      <w:bookmarkEnd w:id="9"/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Модуль № 1 «Декоративно-прикладное и народное искусство»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Общие сведения о декоративно-прикладном искусстве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Декоративно-прикладное искусство и его виды.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Декоративно-прикладное искусство и предметная среда жизни людей</w:t>
      </w:r>
      <w:r>
        <w:rPr>
          <w:rStyle w:val="Style16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Древние корни народного искусства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Истоки образного языка декоративно-прикладного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Традиционные образы народного (крестьянского) прикладного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Связь народного искусства с природой, бытом, трудом, верованиями и эпосом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Убранство русской избы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Конструкция избы,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единство красоты и пользы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– функционального и символического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– в её постройке и украшении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рисунков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– эскизов орнаментального декора крестьянского дома.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Устройство внутреннего пространства крестьянского дома. Декоративные элементы жилой среды.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Народный праздничный костюм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Традиционная конструкция русского женского костюма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– северорусский (сарафан) и южнорусский (понёва) варианты.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Народные художественные промыслы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Создание эскиза игрушки по мотивам избранного промысла.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— основной мотив хохломского орнамента.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Связь с природой. Единство формы и декора в произведениях промысла.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Последовательность выполнения травного орнамента.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Праздничность изделий «золотой хохломы».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Посуда из глины. Искусство Гжели. Краткие сведения по истории промысла.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Гжельская керамика и фарфор: единство скульптурной формы и кобальтового декора.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Природные мотивы росписи посуды. Приёмы мазка, тональный контраст, сочетание пятна и линии.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Роспись по металлу. Жостово. Краткие сведения по истории промысла.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Разнообразие форм подносов, цветового и композиционного решения росписей.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Приёмы свободной кистевой импровизации в живописи цветочных букетов.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Эффект освещённости и объёмности изображения.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pacing w:val="-4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Искусство лаковой живописи: Палех, Федоскино, Холуй, Мстёра</w:t>
      </w:r>
      <w:r>
        <w:rPr>
          <w:rFonts w:cs="Times New Roman" w:ascii="Times New Roman" w:hAnsi="Times New Roman"/>
          <w:spacing w:val="-4"/>
          <w:sz w:val="28"/>
          <w:szCs w:val="28"/>
        </w:rPr>
        <w:t> 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>
        <w:rPr>
          <w:rFonts w:cs="Times New Roman" w:ascii="Times New Roman" w:hAnsi="Times New Roman"/>
          <w:i/>
          <w:iCs/>
          <w:spacing w:val="-4"/>
          <w:sz w:val="28"/>
          <w:szCs w:val="28"/>
          <w:lang w:val="ru-RU"/>
        </w:rPr>
        <w:t>. Роль искусства лаковой миниатюры в сохранении и развитии традиций отечественной культуры.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Народные художественные ремёсла и промыслы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– материальные и духовные ценности, неотъемлемая часть культурного наследия России.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Декоративно-прикладное искусство в культуре разных эпох и народов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Украшение жизненного пространства: построений, интерьеров, предметов быта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– в культуре разных эпох.</w:t>
      </w:r>
    </w:p>
    <w:p>
      <w:pPr>
        <w:pStyle w:val="Normal"/>
        <w:widowControl w:val="false"/>
        <w:spacing w:lineRule="auto" w:line="240" w:before="0" w:after="0"/>
        <w:ind w:left="709" w:firstLine="22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Декоративно-прикладное искусство в жизни современного человека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Государственная символика и традиции геральдики.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Декоративные украшения предметов нашего быта и одежды.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Декор на улицах и декор помещений.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Декор праздничный и повседневный.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Праздничное оформление школы.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Модуль № 2 «Живопись, графика, скульптура»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Общие сведения о видах искусства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Пространственные и временные виды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виды живописи, графики и скульптуры.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Художник и зритель: зрительские умения, знания и творчество зрителя.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Язык изобразительного искусства и его выразительные средства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Рисунок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– основа изобразительного искусства и мастерства художника.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Навыки размещения рисунка в листе, выбор формата.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Линейные графические рисунки и наброски.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Тон и тональные отношения: тёмное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— светлое.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Ритм и ритмическая организация плоскости листа.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Виды скульптуры и характер материала в скульптуре. Скуль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птурные памятники, парковая скульптура, камерная скульптура.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Жанры изобразительного искусства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Натюрморт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Изображение окружности в перспективе.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Сложная пространственная форма и выявление её конструкции.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Живописное изображение натюрморта. Цвет в натюрмортах европейских и отечественных живописцев. </w:t>
      </w:r>
      <w:r>
        <w:rPr>
          <w:rFonts w:cs="Times New Roman" w:ascii="Times New Roman" w:hAnsi="Times New Roman"/>
          <w:sz w:val="28"/>
          <w:szCs w:val="28"/>
          <w:lang w:val="ru-RU"/>
        </w:rPr>
        <w:t>Опыт создания живописного натюрморта.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Портрет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Выражение в портретном изображении характера человека и мировоззренческих идеалов эпохи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Великие портретисты в европейском искусстве.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Парадный и камерный портрет в живописи.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Особенности развития жанра портрета в искусстве ХХ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в.—</w:t>
        <w:br/>
        <w:t>отечественном и европейском.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Графический портретный рисунок с натуры или по памяти.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Портрет в скульптуре.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Опыт работы над созданием живописного портрета.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Пейзаж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Айвазовского.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pacing w:val="-2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>
        <w:rPr>
          <w:rFonts w:cs="Times New Roman" w:ascii="Times New Roman" w:hAnsi="Times New Roman"/>
          <w:i/>
          <w:iCs/>
          <w:spacing w:val="-2"/>
          <w:sz w:val="28"/>
          <w:szCs w:val="28"/>
          <w:lang w:val="ru-RU"/>
        </w:rPr>
        <w:t>живописи и колористической изменчивости состояний природы.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Живописное изображение различных состояний природы.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cs="Times New Roman" w:ascii="Times New Roman" w:hAnsi="Times New Roman"/>
          <w:i/>
          <w:iCs/>
          <w:sz w:val="28"/>
          <w:szCs w:val="28"/>
        </w:rPr>
        <w:t>XIX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Становление образа родной природы в произведениях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Венецианова и его учеников: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Саврасова, 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Шишкина. Пейзажная живопись 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Левитана и её значение для русской культуры.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Значение художественного образа отечественного пейзажа в развитии чувства Родины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Графический образ пейзажа в работах выдающихся мастеров.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Средства выразительности в графическом рисунке и многообразие графических техник.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Опыт изображения городского пейзажа.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Наблюдательная перспектива и ритмическая организация плоскости изображения.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Бытовой жанр в изобразительном искусстве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Изображение труда и бытовой жизни людей в традициях искусства разных эпох.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Значение художественного изображения бытовой жизни людей в понимании истории человечества и современной жизни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Образ нравственных и ценностных смыслов в жанровой картине и роль картины в их утверждении.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Работа над сюжетной композицией.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Исторический жанр в изобразительном искусстве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Историческая картина в русском искусстве </w:t>
      </w:r>
      <w:r>
        <w:rPr>
          <w:rFonts w:cs="Times New Roman" w:ascii="Times New Roman" w:hAnsi="Times New Roman"/>
          <w:i/>
          <w:iCs/>
          <w:sz w:val="28"/>
          <w:szCs w:val="28"/>
        </w:rPr>
        <w:t>XIX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в. и её особое место в развитии отечественной культуры.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Картина К.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Брюллова «Последний день Помпеи», исторические картины в творчестве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Сурикова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 Исторический образ России в картинах ХХ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Библейские темы в изобразительном искусстве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Библейские темы в отечественных картинах </w:t>
      </w:r>
      <w:r>
        <w:rPr>
          <w:rFonts w:cs="Times New Roman" w:ascii="Times New Roman" w:hAnsi="Times New Roman"/>
          <w:sz w:val="28"/>
          <w:szCs w:val="28"/>
        </w:rPr>
        <w:t>XIX </w:t>
      </w:r>
      <w:r>
        <w:rPr>
          <w:rFonts w:cs="Times New Roman" w:ascii="Times New Roman" w:hAnsi="Times New Roman"/>
          <w:sz w:val="28"/>
          <w:szCs w:val="28"/>
          <w:lang w:val="ru-RU"/>
        </w:rPr>
        <w:t>в. (А.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Ива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нов. «Явление Христа народу», И.</w:t>
      </w:r>
      <w:r>
        <w:rPr>
          <w:rFonts w:cs="Times New Roman" w:ascii="Times New Roman" w:hAnsi="Times New Roman"/>
          <w:spacing w:val="-4"/>
          <w:sz w:val="28"/>
          <w:szCs w:val="28"/>
        </w:rPr>
        <w:t> 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Крамской. «Христос в пустыне», Н.</w:t>
      </w:r>
      <w:r>
        <w:rPr>
          <w:rFonts w:cs="Times New Roman" w:ascii="Times New Roman" w:hAnsi="Times New Roman"/>
          <w:spacing w:val="-4"/>
          <w:sz w:val="28"/>
          <w:szCs w:val="28"/>
        </w:rPr>
        <w:t> 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Ге. «Тайная вечеря», В.</w:t>
      </w:r>
      <w:r>
        <w:rPr>
          <w:rFonts w:cs="Times New Roman" w:ascii="Times New Roman" w:hAnsi="Times New Roman"/>
          <w:spacing w:val="-4"/>
          <w:sz w:val="28"/>
          <w:szCs w:val="28"/>
        </w:rPr>
        <w:t> 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Поленов. «Христос и грешница»).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Иконопись как великое проявление русской культуры. Язык изображения в иконе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— его религиозный и символический смысл.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Работа над эскизом сюжетной композиции.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Модуль № 3 «Архитектура и дизайн»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Дизайн и архитектура как создатели «второй природы»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– предметно-пространственной среды жизни людей.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архитектуры в понимании человеком своей идентичности.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Задачи сохранения культурного наследия и природного ландшафта.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Возникновение архитектуры и дизайна на разных этапах общественного развития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 Единство функционального и художественного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— целесообразности и красоты.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Графический дизайн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Роль цвета в организации композиционного пространства.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Шрифты и шрифтовая композиция в графическом дизайне.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Форма буквы как изобразительно-смысловой символ.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Шрифт и содержание текста. Стилизация шрифта.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аналитических и практических работ по теме «Буква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— изобразительный элемент композиции».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Макетирование объёмно-пространственных композиций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Композиция плоскостная и пространственная. Композиционная организация пространства.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Прочтение плоскостной композиции как «чертежа» пространства.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Взаимосвязь объектов в архитектурном макете.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Взаимное влияние объёмов и их сочетаний на образный характер постройки.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Красота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—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аналитических зарисовок форм бытовых предметов.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Цвет в архитектуре и дизайне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Социальное значение дизайна и архитектуры как среды жизни человека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Образ и стиль материальной культуры прошлого.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Архитектурная и градостроительная революция </w:t>
      </w:r>
      <w:r>
        <w:rPr>
          <w:rFonts w:cs="Times New Roman" w:ascii="Times New Roman" w:hAnsi="Times New Roman"/>
          <w:i/>
          <w:iCs/>
          <w:sz w:val="28"/>
          <w:szCs w:val="28"/>
        </w:rPr>
        <w:t>XX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Современные поиски новой эстетики в градостроительстве.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пр.), киосков, информационных блоков, блоков локального озеленения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Организация архитектурно-ландшафтного пространства.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Город в единстве с ландшафтно-парковой средой.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Традиции графического языка ландшафтных проектов.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Образ человека и индивидуальное проектирование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Образно-личностное проектирование в дизайне и архитектуре.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Мода и культура как параметры создания собственного костюма или комплекта одежды.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lineRule="auto" w:line="240" w:before="0" w:after="0"/>
        <w:ind w:left="36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iC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iCs/>
          <w:sz w:val="28"/>
          <w:szCs w:val="28"/>
          <w:lang w:val="ru-RU"/>
        </w:rPr>
        <w:t>Примерные контрольно-измерительные материалы по изобразительному искусству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Контрольные работы по предмету «Изобразительное искусство» программой не предусмотрены.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На уроках изобразительного искусства оценивается как уровень восприятия обучающимися с ЗПР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Оценивание работы учащихся с ЗПР носит индивидуальный характер, учитываются следующие показатели: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правильность приемов работы;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соблюдение правил безопасности работы и гигиены труда.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b/>
          <w:b/>
          <w:cap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caps/>
          <w:sz w:val="28"/>
          <w:szCs w:val="28"/>
          <w:lang w:val="ru-RU"/>
        </w:rPr>
        <w:t xml:space="preserve">ПЛАНИРУЕМЫЕ РЕЗУЛЬТАТЫ ОСВОЕНИЯ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b/>
          <w:b/>
          <w:cap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caps/>
          <w:sz w:val="28"/>
          <w:szCs w:val="28"/>
          <w:lang w:val="ru-RU"/>
        </w:rPr>
        <w:t xml:space="preserve">УЧЕБНОГО ПРЕДМЕТА «ИЗОБРАЗИТЕЛЬНОЕ ИСКУССТВО»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bCs/>
          <w:caps/>
          <w:sz w:val="28"/>
          <w:szCs w:val="28"/>
          <w:lang w:val="ru-RU"/>
        </w:rPr>
      </w:pPr>
      <w:bookmarkStart w:id="10" w:name="_Toc85367036"/>
      <w:r>
        <w:rPr>
          <w:rFonts w:eastAsia="" w:cs="Times New Roman" w:ascii="Times New Roman" w:hAnsi="Times New Roman" w:eastAsiaTheme="majorEastAsia"/>
          <w:b/>
          <w:caps/>
          <w:sz w:val="28"/>
          <w:szCs w:val="28"/>
          <w:lang w:val="ru-RU"/>
        </w:rPr>
        <w:t>НА УРОВНЕ ОСНОВНОГО ОБЩЕГО ОБРАЗОВАНИЯ</w:t>
      </w:r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bCs/>
          <w:cap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Cs/>
          <w:cap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ajorEastAsia"/>
          <w:b/>
          <w:b/>
          <w:bCs/>
          <w:caps/>
          <w:sz w:val="28"/>
          <w:szCs w:val="28"/>
          <w:lang w:val="ru-RU"/>
        </w:rPr>
      </w:pPr>
      <w:bookmarkStart w:id="11" w:name="_Toc85367037"/>
      <w:r>
        <w:rPr>
          <w:rFonts w:eastAsia="" w:cs="Times New Roman" w:ascii="Times New Roman" w:hAnsi="Times New Roman" w:eastAsiaTheme="majorEastAsia"/>
          <w:b/>
          <w:bCs/>
          <w:caps/>
          <w:sz w:val="28"/>
          <w:szCs w:val="28"/>
          <w:lang w:val="ru-RU"/>
        </w:rPr>
        <w:t>Личностные результаты:</w:t>
      </w:r>
      <w:bookmarkEnd w:id="1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осознание основ культурного наследия народов России и человечества;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ценностное отношение к Российскому искусству, художественным традициям разных народов, проживающих в родной стране.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ценность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осознание собственного эмоционального состояния и эмоционального состояния других на основе анализа продуктов художественной деятельности, умение управлять собственным эмоциональным состоянием;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интерес к практическому изучению профессий и труда, связанного с изобразительным искусством, на основе применения изучаемого предметного знания;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уважение к труду и результатам трудовой деятельности, возникшим в процессе создания художественного изделия;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продуктивная коммуникация со сверстниками, взрослыми в ходе творческой деятельности;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развитие собственных творческих способностей, формирование устойчивого интереса к творческой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передать свои впечатления так, чтобы быть понятым другим человеком.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851" w:firstLine="227"/>
        <w:jc w:val="both"/>
        <w:rPr>
          <w:rFonts w:ascii="Times New Roman" w:hAnsi="Times New Roman" w:eastAsia="" w:cs="Times New Roman" w:eastAsiaTheme="majorEastAsia"/>
          <w:b/>
          <w:b/>
          <w:bCs/>
          <w:caps/>
          <w:sz w:val="28"/>
          <w:szCs w:val="28"/>
          <w:lang w:val="ru-RU"/>
        </w:rPr>
      </w:pPr>
      <w:bookmarkStart w:id="12" w:name="_Toc85367038"/>
      <w:r>
        <w:rPr>
          <w:rFonts w:eastAsia="" w:cs="Times New Roman" w:ascii="Times New Roman" w:hAnsi="Times New Roman" w:eastAsiaTheme="majorEastAsia"/>
          <w:b/>
          <w:bCs/>
          <w:caps/>
          <w:sz w:val="28"/>
          <w:szCs w:val="28"/>
          <w:lang w:val="ru-RU"/>
        </w:rPr>
        <w:t>Метапредметные результаты</w:t>
      </w:r>
      <w:bookmarkEnd w:id="1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анализировать, сравнивать, выделять главное, обобщать;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устанавливать причинно-следственные связи при анализе картин художников;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или самостоятельно формулировать обобщения и выводы по результатам проведенного анализа;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 выбирать способ решения учебно-творческой задачи (выбор материала, инструмента и пр.) для достижения наилучшего результата;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пользоваться различными поисковыми системами при выполнении творческих проектов, отдельных упражнений по живописи, графике, моделированию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искать и отбирать информацию из различных источников для решения учебно-творческих задач в процессе поиска дополнительного изобразительного материала.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kern w:val="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i/>
          <w:kern w:val="2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организовывать учебное сотрудничество и совместную деятельность с учителем и сверстниками в процессе выполнения коллективной творческой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выполнять свою часть работы, достигать максимально возможного качественного результата, координировать свои действия с другими членами команды при работе над творческими проектами;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качество своего вклада в общий продукт.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 планировать учебные действия в соответствии с поставленной художественной задачей, осознанно выбирать наиболее эффективные способы решения различных художественно-творческих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рационально подходить к определению цели самостоятельной творческой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соотносить свои действия с планируемыми результатами творческой деятельности, осуществлять контроль своей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предвидеть трудности, которые могут возникнуть при решении художественной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причины, по которым планируемый результат не был достигнут, находить позитивное в произошедшей ситуации (пейзаж не получился, потому что неверно расположил линию горизонта, но усовершенствовал технику работы с акварелью);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выражать собственные эмоции доступными художественными средствами;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различать и называть эмоции других, выраженные при помощи художественных средств;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анализировать возможные причины эмоций персонажей, изображенных на картинах;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ставить себя на место другого человека (персонажа картины), понимать его мотивы и намерения;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осознанно относиться к другому человеку, его мнению по поводу художественного произведения;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признавать свое право на ошибку и такое же право другого.</w:t>
      </w:r>
    </w:p>
    <w:p>
      <w:pPr>
        <w:pStyle w:val="Normal"/>
        <w:spacing w:lineRule="auto" w:line="240" w:before="0" w:after="0"/>
        <w:ind w:left="425" w:firstLine="709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851" w:firstLine="227"/>
        <w:jc w:val="both"/>
        <w:rPr>
          <w:rFonts w:ascii="Times New Roman" w:hAnsi="Times New Roman" w:eastAsia="" w:cs="Times New Roman" w:eastAsiaTheme="majorEastAsia"/>
          <w:b/>
          <w:b/>
          <w:bCs/>
          <w:caps/>
          <w:sz w:val="28"/>
          <w:szCs w:val="28"/>
          <w:lang w:val="ru-RU"/>
        </w:rPr>
      </w:pPr>
      <w:bookmarkStart w:id="13" w:name="_Toc85367039"/>
      <w:r>
        <w:rPr>
          <w:rFonts w:eastAsia="" w:cs="Times New Roman" w:ascii="Times New Roman" w:hAnsi="Times New Roman" w:eastAsiaTheme="majorEastAsia"/>
          <w:b/>
          <w:bCs/>
          <w:caps/>
          <w:sz w:val="28"/>
          <w:szCs w:val="28"/>
          <w:lang w:val="ru-RU"/>
        </w:rPr>
        <w:t>Предметные результаты</w:t>
      </w:r>
      <w:bookmarkEnd w:id="13"/>
      <w:r>
        <w:rPr>
          <w:rFonts w:eastAsia="" w:cs="Times New Roman" w:ascii="Times New Roman" w:hAnsi="Times New Roman" w:eastAsiaTheme="majorEastAsia"/>
          <w:b/>
          <w:bCs/>
          <w:caps/>
          <w:sz w:val="28"/>
          <w:szCs w:val="28"/>
          <w:lang w:val="ru-RU"/>
        </w:rPr>
        <w:t xml:space="preserve">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отражать сформированность умений.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pacing w:val="-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pacing w:val="-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lang w:val="ru-RU"/>
        </w:rPr>
        <w:t>Модуль № 1 «Декоративно-прикладное и народное искусство»: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неразрывной связи декора и материала;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различать по образцу разные виды орнамента: геометрический, растительный, зооморфный, антропоморфный;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изображения или моделирования традиционного народного костюма;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рассказывать по опорной схеме, плану о происхождении народных художественных промыслов;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связи между материалом, формой и техникой декора в произведениях народных промыслов;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при помощи учителя их образное назначение;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highlight w:val="yellow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Модуль № 2 «Живопись, графика, скульптура»: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меть представление о причинах деления пространственных искусств на виды;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об основных видах живописи, графики и скульптуры, объяснять при помощи учителя их назначение в жизни людей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различать традиционные художественные материалы для графики, живописи, скульптуры;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понимать значение материала в создании художественного образа;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роли рисунка как основы изобразительной деятельности;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val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содержании понятий «тон», «тональные отношения» и иметь опыт их визуального анализа;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определения конструкции сложных форм, соотношения между собой пропорции частей внутри целого;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линейного рисунка;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об основах цветоведения: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навыки практической работы гуашью и акварелью;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Жанры изобразительного искусства: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представления о понятии «жанры в изобразительном искусстве», понимать разницу между предметом </w:t>
      </w: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изображения, сюжетом и содержанием произведения искусства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Натюрморт: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в., опираясь на конкретные произведения отечественных художников по предложенному плану;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val="ru-RU"/>
        </w:rPr>
        <w:t>иметь представление об освещении как средстве выявления объёма предмета;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создания графического натюрморта;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создания натюрморта средствами живописи.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Портрет: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узнавать произведения и называть имена нескольких вели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ru-RU"/>
        </w:rPr>
        <w:t>ких портретистов европейского искусства (Леонардо да Винчи,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Рафаэль, Микеланджело, Рембрандт и др.) по образцу или с помощью учителя;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истории портрета в русском изобразительном искусстве, о великих художниках-портретистах (В.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Боровиковский, А.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Венецианов, О.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Кипренский, В.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Тропинин, К.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Брюллов, И.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Крамской, И.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Репин, В.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Суриков, В.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Серов и др.);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способах объёмного изображения 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val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начальный опыт лепки головы человека;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опыт создания живописного портрета, </w:t>
      </w: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жанре портрета в искусстве ХХ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— западном и отечественном.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Пейзаж: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правилах построения линейной перспективы и иметь опыт применения их в рисунке;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правилах воздушной перспективы и иметь опыт их применения на практике;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морских пейзажах И. Айвазовского;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изображения городского пейзажа – по памяти или представлению.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Бытовой жанр: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уметь различать при помощи учителя тему, сюжет и содержание в жанровой картине;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понятии «бытовой жанр»;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создания композиции на сюжеты из реальной повседневной жизни.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Исторический жанр: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историческом жанре в истории искусства и его значении для жизни общества;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Библейские темы в изобразительном искусстве: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значении библейских сюжетов в истории культуры;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картинах на библейские темы в истории русского искусства;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709"/>
        <w:textAlignment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Модуль № 3 «Архитектура и дизайн»: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влиянии предметно-пространственной среды на чувства, установки и поведение человека;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Графический дизайн: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основных средствах – требованиях к композиции;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об основных типах формальной композиции;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составления различных формальных композиции на плоскости;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составления формальных композиции на выражение в них движения и статики;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первоначальных навыков вариативности в ритмической организации листа;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роли цвета в конструктивных искусствах;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технологии использования цвета в живописи и в конструктивных искусствах;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выражении «цветовой образ»;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применения цвета в графических композициях как акцента или доминанты, объединённых одним стилем;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соотнесении особенностей стилизации рисунка шрифта и содержания текста;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применения печатного слова, типографской строки в качестве элементов графической композиции;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функции логотипа как представительского знака, эмблемы, торговой марки;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шрифтовом и знаковом видах логотипа;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i/>
          <w:i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иметь практический опыт разработки логотипа на выбранную тему;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об искусстве конструирования книги, дизайне журнала;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i/>
          <w:i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Социальное значение дизайна и архитектуры как среды жизни человека: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представления </w:t>
      </w: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и практический опыт изображения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понятии «городская среда»;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уметь объяснять с помощью учителя планировку города как способ организации образа жизни людей;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представления о различных видах планировки города;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эстетическом и экологическом взаимном сосуществовании природы и архитектуры;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традициях ландшафтно-парковой архитектуры и школах ландшафтного дизайна;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понимать, что такое стиль в одежде;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об истории костюма в истории разных эпох;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понятии моды в одежде;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представление о задачах искусства, театрального грима и бытового макияжа;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иметь опыт создания эскизов для макияжа театральных образов и опыт бытового макияжа; </w:t>
      </w:r>
    </w:p>
    <w:p>
      <w:pPr>
        <w:pStyle w:val="Normal"/>
        <w:widowControl w:val="false"/>
        <w:tabs>
          <w:tab w:val="clear" w:pos="720"/>
          <w:tab w:val="left" w:pos="227" w:leader="none"/>
        </w:tabs>
        <w:spacing w:lineRule="auto" w:line="240" w:before="0" w:after="0"/>
        <w:ind w:left="221" w:firstLine="709"/>
        <w:jc w:val="both"/>
        <w:textAlignment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cs="Times New Roman"/>
          <w:lang w:val="ru-RU"/>
        </w:rPr>
      </w:pPr>
      <w:r>
        <w:rPr>
          <w:rFonts w:cs="Times New Roman"/>
          <w:lang w:val="ru-RU"/>
        </w:rPr>
      </w:r>
      <w:r>
        <w:br w:type="page"/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sectPr>
          <w:footnotePr>
            <w:numFmt w:val="decimal"/>
          </w:footnote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hanging="0"/>
        <w:jc w:val="center"/>
        <w:rPr>
          <w:b/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4" w:name="block-2542500"/>
      <w:bookmarkStart w:id="15" w:name="block-2542500"/>
      <w:bookmarkEnd w:id="15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color w:val="069A2E"/>
          <w:lang w:val="ru-RU"/>
        </w:rPr>
      </w:pPr>
      <w:r>
        <w:rPr/>
      </w:r>
      <w:bookmarkStart w:id="16" w:name="block-28548689"/>
      <w:bookmarkStart w:id="17" w:name="block-28548689"/>
      <w:bookmarkEnd w:id="17"/>
    </w:p>
    <w:p>
      <w:pPr>
        <w:pStyle w:val="Normal"/>
        <w:spacing w:before="0" w:after="0"/>
        <w:ind w:left="120" w:hanging="0"/>
        <w:rPr>
          <w:color w:val="069A2E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color w:val="069A2E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4400"/>
        <w:gridCol w:w="129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 практическую работу по изготовлен: выполняем ию куклы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color w:val="069A2E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4465"/>
        <w:gridCol w:w="12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4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color w:val="069A2E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2"/>
        <w:gridCol w:w="4096"/>
        <w:gridCol w:w="1274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40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69A2E"/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69A2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69A2E"/>
                <w:lang w:val="ru-RU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/>
        <w:drawing>
          <wp:inline distT="0" distB="0" distL="0" distR="0">
            <wp:extent cx="5405755" cy="5731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/>
      </w:r>
    </w:p>
    <w:sectPr>
      <w:footnotePr>
        <w:numFmt w:val="decimal"/>
      </w:footnote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spacing w:before="0" w:after="200"/>
        <w:rPr>
          <w:lang w:val="ru-RU"/>
        </w:rPr>
      </w:pPr>
      <w:r>
        <w:rPr>
          <w:rStyle w:val="Style15"/>
        </w:rPr>
        <w:footnoteRef/>
      </w:r>
      <w:r>
        <w:rPr>
          <w:lang w:val="ru-RU"/>
        </w:rPr>
        <w:tab/>
        <w:t xml:space="preserve"> </w:t>
      </w:r>
      <w:r>
        <w:rPr>
          <w:lang w:val="ru-RU"/>
        </w:rPr>
        <w:t>Здесь и далее курсивом отмечены темы, которые даются учащимся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214dff"/>
    <w:rPr>
      <w:color w:val="0563C1" w:themeColor="hyperlink"/>
      <w:u w:val="single"/>
    </w:rPr>
  </w:style>
  <w:style w:type="character" w:styleId="Style15" w:customStyle="1">
    <w:name w:val="Символ сноски"/>
    <w:qFormat/>
    <w:rPr/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Title"/>
    <w:basedOn w:val="Normal"/>
    <w:next w:val="Style20"/>
    <w:link w:val="a7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a3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7">
    <w:name w:val="Subtitle"/>
    <w:basedOn w:val="Normal"/>
    <w:next w:val="Normal"/>
    <w:link w:val="a5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8">
    <w:name w:val="Footnote Text"/>
    <w:basedOn w:val="Normal"/>
    <w:uiPriority w:val="99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LibreOffice/7.2.2.2$Windows_X86_64 LibreOffice_project/02b2acce88a210515b4a5bb2e46cbfb63fe97d56</Application>
  <AppVersion>15.0000</AppVersion>
  <Pages>50</Pages>
  <Words>8116</Words>
  <Characters>58838</Characters>
  <CharactersWithSpaces>66277</CharactersWithSpaces>
  <Paragraphs>908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2024-08-06T16:14:00Z</dcterms:created>
  <dc:creator/>
  <dc:description/>
  <dc:language>ru-RU</dc:language>
  <cp:lastModifiedBy/>
  <dcterms:modified xsi:type="dcterms:W3CDTF">2024-08-07T16:37:19Z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